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EF4" w:rsidRDefault="00F57EF4">
      <w:pPr>
        <w:rPr>
          <w:sz w:val="32"/>
        </w:rPr>
      </w:pPr>
    </w:p>
    <w:p w:rsidR="00F57EF4" w:rsidRDefault="00F57EF4">
      <w:pPr>
        <w:rPr>
          <w:sz w:val="32"/>
        </w:rPr>
      </w:pPr>
    </w:p>
    <w:p w:rsidR="009742FC" w:rsidRDefault="009742FC" w:rsidP="009742F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RURAL MUNICIPALITY OF HAZEL DELL NO. 335</w:t>
      </w:r>
    </w:p>
    <w:p w:rsidR="009742FC" w:rsidRDefault="009742FC" w:rsidP="009742F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sz w:val="28"/>
          <w:szCs w:val="28"/>
        </w:rPr>
      </w:pPr>
    </w:p>
    <w:p w:rsidR="009742FC" w:rsidRDefault="009742FC" w:rsidP="009742F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BYLAW NO. </w:t>
      </w:r>
      <w:r w:rsidR="002B259A">
        <w:rPr>
          <w:sz w:val="28"/>
          <w:szCs w:val="28"/>
        </w:rPr>
        <w:t>3</w:t>
      </w:r>
      <w:r>
        <w:rPr>
          <w:sz w:val="28"/>
          <w:szCs w:val="28"/>
        </w:rPr>
        <w:t xml:space="preserve"> - 20</w:t>
      </w:r>
      <w:r w:rsidR="002B259A">
        <w:rPr>
          <w:sz w:val="28"/>
          <w:szCs w:val="28"/>
        </w:rPr>
        <w:t>23</w:t>
      </w:r>
    </w:p>
    <w:p w:rsidR="009742FC" w:rsidRDefault="009742FC" w:rsidP="009742F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rPr>
          <w:sz w:val="28"/>
          <w:szCs w:val="28"/>
        </w:rPr>
      </w:pPr>
    </w:p>
    <w:p w:rsidR="009742FC" w:rsidRPr="00200C1F" w:rsidRDefault="009742FC" w:rsidP="009742FC">
      <w:pPr>
        <w:jc w:val="center"/>
        <w:rPr>
          <w:b/>
          <w:sz w:val="24"/>
          <w:szCs w:val="24"/>
        </w:rPr>
      </w:pPr>
      <w:r w:rsidRPr="001A51B9">
        <w:rPr>
          <w:sz w:val="28"/>
          <w:szCs w:val="28"/>
        </w:rPr>
        <w:t>A BYLAW TO ESTABLISH MILL RATE FACTORS</w:t>
      </w:r>
    </w:p>
    <w:p w:rsidR="00F57EF4" w:rsidRPr="00200C1F" w:rsidRDefault="009742FC" w:rsidP="009742FC">
      <w:pPr>
        <w:jc w:val="center"/>
        <w:rPr>
          <w:b/>
          <w:sz w:val="24"/>
          <w:szCs w:val="24"/>
        </w:rPr>
      </w:pPr>
      <w:r w:rsidRPr="00200C1F">
        <w:rPr>
          <w:b/>
          <w:sz w:val="24"/>
          <w:szCs w:val="24"/>
        </w:rPr>
        <w:t xml:space="preserve"> </w:t>
      </w:r>
    </w:p>
    <w:p w:rsidR="00F57EF4" w:rsidRPr="00200C1F" w:rsidRDefault="00F57EF4">
      <w:pPr>
        <w:rPr>
          <w:b/>
          <w:sz w:val="24"/>
          <w:szCs w:val="24"/>
        </w:rPr>
      </w:pPr>
    </w:p>
    <w:p w:rsidR="009742FC" w:rsidRPr="009742FC" w:rsidRDefault="009742FC" w:rsidP="009742F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742FC">
        <w:rPr>
          <w:sz w:val="24"/>
          <w:szCs w:val="24"/>
        </w:rPr>
        <w:t>The Council of The Rural Municipality of Hazel Dell No. 335 in the Province of Saskatchewan enacts as follows:</w:t>
      </w:r>
    </w:p>
    <w:p w:rsidR="00F57EF4" w:rsidRDefault="00F57EF4">
      <w:pPr>
        <w:rPr>
          <w:sz w:val="24"/>
        </w:rPr>
      </w:pPr>
    </w:p>
    <w:p w:rsidR="000B5730" w:rsidRDefault="000B5730" w:rsidP="008B2EF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This bylaw shall be known as the “Mill Rate Factor Bylaw”.</w:t>
      </w:r>
    </w:p>
    <w:p w:rsidR="000B5730" w:rsidRDefault="000B5730">
      <w:pPr>
        <w:rPr>
          <w:sz w:val="24"/>
        </w:rPr>
      </w:pPr>
    </w:p>
    <w:p w:rsidR="000B5730" w:rsidRDefault="000B5730" w:rsidP="008B2EF5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The following mill rate factor(s) shall be applied to the uniform mill rate levied against </w:t>
      </w:r>
      <w:r w:rsidR="00233B4C">
        <w:rPr>
          <w:sz w:val="24"/>
        </w:rPr>
        <w:t xml:space="preserve">all </w:t>
      </w:r>
      <w:r>
        <w:rPr>
          <w:sz w:val="24"/>
        </w:rPr>
        <w:t>taxable</w:t>
      </w:r>
      <w:r w:rsidR="00233B4C">
        <w:rPr>
          <w:sz w:val="24"/>
        </w:rPr>
        <w:t xml:space="preserve"> property </w:t>
      </w:r>
      <w:r>
        <w:rPr>
          <w:sz w:val="24"/>
        </w:rPr>
        <w:t>for municipal purposes:</w:t>
      </w:r>
      <w:r w:rsidR="00B10393">
        <w:rPr>
          <w:sz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620"/>
      </w:tblGrid>
      <w:tr w:rsidR="000B5730" w:rsidRPr="00B95F67" w:rsidTr="00FB2C66">
        <w:tc>
          <w:tcPr>
            <w:tcW w:w="4068" w:type="dxa"/>
          </w:tcPr>
          <w:p w:rsidR="000B5730" w:rsidRPr="00B95F67" w:rsidRDefault="000B5730" w:rsidP="00B95F67">
            <w:pPr>
              <w:ind w:left="720"/>
              <w:rPr>
                <w:sz w:val="24"/>
                <w:u w:val="single"/>
              </w:rPr>
            </w:pPr>
            <w:r w:rsidRPr="00B95F67">
              <w:rPr>
                <w:sz w:val="24"/>
                <w:u w:val="single"/>
              </w:rPr>
              <w:t>Classification</w:t>
            </w:r>
          </w:p>
        </w:tc>
        <w:tc>
          <w:tcPr>
            <w:tcW w:w="1620" w:type="dxa"/>
          </w:tcPr>
          <w:p w:rsidR="000B5730" w:rsidRPr="00B95F67" w:rsidRDefault="000B5730" w:rsidP="00B95F67">
            <w:pPr>
              <w:jc w:val="right"/>
              <w:rPr>
                <w:sz w:val="24"/>
                <w:u w:val="single"/>
              </w:rPr>
            </w:pPr>
            <w:r w:rsidRPr="00B95F67">
              <w:rPr>
                <w:sz w:val="24"/>
                <w:u w:val="single"/>
              </w:rPr>
              <w:t>Factor</w:t>
            </w:r>
          </w:p>
        </w:tc>
      </w:tr>
      <w:tr w:rsidR="000B5730" w:rsidRPr="00B95F67" w:rsidTr="00FB2C66">
        <w:tc>
          <w:tcPr>
            <w:tcW w:w="4068" w:type="dxa"/>
          </w:tcPr>
          <w:p w:rsidR="000B5730" w:rsidRPr="00B95F67" w:rsidRDefault="000B5730" w:rsidP="00B95F67">
            <w:pPr>
              <w:numPr>
                <w:ilvl w:val="1"/>
                <w:numId w:val="2"/>
              </w:numPr>
              <w:rPr>
                <w:sz w:val="24"/>
              </w:rPr>
            </w:pPr>
            <w:r w:rsidRPr="00B95F67">
              <w:rPr>
                <w:sz w:val="24"/>
              </w:rPr>
              <w:t>Agricultural</w:t>
            </w:r>
          </w:p>
        </w:tc>
        <w:tc>
          <w:tcPr>
            <w:tcW w:w="1620" w:type="dxa"/>
          </w:tcPr>
          <w:p w:rsidR="000B5730" w:rsidRPr="00B95F67" w:rsidRDefault="0087370B" w:rsidP="00873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742FC">
              <w:rPr>
                <w:sz w:val="24"/>
              </w:rPr>
              <w:t>1.00</w:t>
            </w:r>
          </w:p>
        </w:tc>
      </w:tr>
      <w:tr w:rsidR="000B5730" w:rsidRPr="00B95F67" w:rsidTr="00FB2C66">
        <w:tc>
          <w:tcPr>
            <w:tcW w:w="4068" w:type="dxa"/>
          </w:tcPr>
          <w:p w:rsidR="000B5730" w:rsidRPr="00B95F67" w:rsidRDefault="000B5730" w:rsidP="00B95F67">
            <w:pPr>
              <w:numPr>
                <w:ilvl w:val="1"/>
                <w:numId w:val="2"/>
              </w:numPr>
              <w:rPr>
                <w:sz w:val="24"/>
              </w:rPr>
            </w:pPr>
            <w:r w:rsidRPr="00B95F67">
              <w:rPr>
                <w:sz w:val="24"/>
              </w:rPr>
              <w:t>Residential</w:t>
            </w:r>
          </w:p>
        </w:tc>
        <w:tc>
          <w:tcPr>
            <w:tcW w:w="1620" w:type="dxa"/>
          </w:tcPr>
          <w:p w:rsidR="000B5730" w:rsidRPr="00B95F67" w:rsidRDefault="00973451" w:rsidP="00670ECD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7370B">
              <w:rPr>
                <w:sz w:val="24"/>
              </w:rPr>
              <w:t xml:space="preserve">        </w:t>
            </w:r>
            <w:r w:rsidR="002B259A">
              <w:rPr>
                <w:sz w:val="24"/>
              </w:rPr>
              <w:t>1.</w:t>
            </w:r>
            <w:r w:rsidR="00670ECD">
              <w:rPr>
                <w:sz w:val="24"/>
              </w:rPr>
              <w:t>00</w:t>
            </w:r>
          </w:p>
        </w:tc>
      </w:tr>
      <w:tr w:rsidR="000B5730" w:rsidRPr="00B95F67" w:rsidTr="00FB2C66">
        <w:tc>
          <w:tcPr>
            <w:tcW w:w="4068" w:type="dxa"/>
          </w:tcPr>
          <w:p w:rsidR="000B5730" w:rsidRPr="00B95F67" w:rsidRDefault="000B5730" w:rsidP="00B95F67">
            <w:pPr>
              <w:numPr>
                <w:ilvl w:val="1"/>
                <w:numId w:val="2"/>
              </w:numPr>
              <w:rPr>
                <w:sz w:val="24"/>
              </w:rPr>
            </w:pPr>
            <w:r w:rsidRPr="00B95F67">
              <w:rPr>
                <w:sz w:val="24"/>
              </w:rPr>
              <w:t>Commercial &amp; Industrial</w:t>
            </w:r>
          </w:p>
        </w:tc>
        <w:tc>
          <w:tcPr>
            <w:tcW w:w="1620" w:type="dxa"/>
          </w:tcPr>
          <w:p w:rsidR="000B5730" w:rsidRPr="00B95F67" w:rsidRDefault="00670ECD" w:rsidP="00670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87370B">
              <w:rPr>
                <w:sz w:val="24"/>
              </w:rPr>
              <w:t>1.</w:t>
            </w:r>
            <w:r>
              <w:rPr>
                <w:sz w:val="24"/>
              </w:rPr>
              <w:t>200</w:t>
            </w:r>
          </w:p>
        </w:tc>
      </w:tr>
    </w:tbl>
    <w:p w:rsidR="000B5730" w:rsidRDefault="000B5730">
      <w:pPr>
        <w:rPr>
          <w:sz w:val="24"/>
        </w:rPr>
      </w:pPr>
    </w:p>
    <w:p w:rsidR="00781D60" w:rsidRDefault="000B5730" w:rsidP="008B2EF5">
      <w:pPr>
        <w:numPr>
          <w:ilvl w:val="0"/>
          <w:numId w:val="2"/>
        </w:numPr>
        <w:rPr>
          <w:sz w:val="24"/>
        </w:rPr>
      </w:pPr>
      <w:r>
        <w:rPr>
          <w:sz w:val="24"/>
        </w:rPr>
        <w:t>Notwithstanding</w:t>
      </w:r>
      <w:r w:rsidR="00781D60">
        <w:rPr>
          <w:sz w:val="24"/>
        </w:rPr>
        <w:t xml:space="preserve"> section 2 of this bylaw, the following mill rate factor(s) shall be applied to the uniform mill rate levied against </w:t>
      </w:r>
      <w:r w:rsidR="00484CF3">
        <w:rPr>
          <w:sz w:val="24"/>
        </w:rPr>
        <w:t xml:space="preserve">all </w:t>
      </w:r>
      <w:r w:rsidR="00781D60">
        <w:rPr>
          <w:sz w:val="24"/>
        </w:rPr>
        <w:t>taxable</w:t>
      </w:r>
      <w:r w:rsidR="00484CF3">
        <w:rPr>
          <w:sz w:val="24"/>
        </w:rPr>
        <w:t xml:space="preserve"> </w:t>
      </w:r>
      <w:r w:rsidR="00846F1A">
        <w:rPr>
          <w:sz w:val="24"/>
        </w:rPr>
        <w:t>property</w:t>
      </w:r>
      <w:r w:rsidR="00781D60">
        <w:rPr>
          <w:sz w:val="24"/>
        </w:rPr>
        <w:t xml:space="preserve"> within the Organized Hamlet</w:t>
      </w:r>
      <w:r w:rsidR="009742FC">
        <w:rPr>
          <w:sz w:val="24"/>
        </w:rPr>
        <w:t xml:space="preserve">s of Hazel Dell and </w:t>
      </w:r>
      <w:proofErr w:type="spellStart"/>
      <w:r w:rsidR="009742FC">
        <w:rPr>
          <w:sz w:val="24"/>
        </w:rPr>
        <w:t>Okla</w:t>
      </w:r>
      <w:proofErr w:type="spellEnd"/>
      <w:r w:rsidR="009742FC">
        <w:rPr>
          <w:sz w:val="24"/>
        </w:rPr>
        <w:t xml:space="preserve"> </w:t>
      </w:r>
      <w:r w:rsidR="00781D60">
        <w:rPr>
          <w:sz w:val="24"/>
        </w:rPr>
        <w:t>for municipal purposes:</w:t>
      </w:r>
      <w:r w:rsidR="00B10393">
        <w:rPr>
          <w:sz w:val="24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620"/>
      </w:tblGrid>
      <w:tr w:rsidR="008B2EF5" w:rsidRPr="00B95F67" w:rsidTr="00B36F2E">
        <w:tc>
          <w:tcPr>
            <w:tcW w:w="4068" w:type="dxa"/>
          </w:tcPr>
          <w:p w:rsidR="008B2EF5" w:rsidRPr="00B95F67" w:rsidRDefault="008B2EF5" w:rsidP="00B95F67">
            <w:pPr>
              <w:ind w:left="720"/>
              <w:rPr>
                <w:sz w:val="24"/>
                <w:u w:val="single"/>
              </w:rPr>
            </w:pPr>
            <w:r w:rsidRPr="00B95F67">
              <w:rPr>
                <w:sz w:val="24"/>
                <w:u w:val="single"/>
              </w:rPr>
              <w:t>Classification</w:t>
            </w:r>
          </w:p>
        </w:tc>
        <w:tc>
          <w:tcPr>
            <w:tcW w:w="1620" w:type="dxa"/>
          </w:tcPr>
          <w:p w:rsidR="008B2EF5" w:rsidRPr="00B95F67" w:rsidRDefault="008B2EF5" w:rsidP="00B95F67">
            <w:pPr>
              <w:jc w:val="right"/>
              <w:rPr>
                <w:sz w:val="24"/>
                <w:u w:val="single"/>
              </w:rPr>
            </w:pPr>
            <w:r w:rsidRPr="00B95F67">
              <w:rPr>
                <w:sz w:val="24"/>
                <w:u w:val="single"/>
              </w:rPr>
              <w:t>Factor</w:t>
            </w:r>
          </w:p>
        </w:tc>
      </w:tr>
      <w:tr w:rsidR="008B2EF5" w:rsidRPr="00B95F67" w:rsidTr="00B36F2E">
        <w:tc>
          <w:tcPr>
            <w:tcW w:w="4068" w:type="dxa"/>
          </w:tcPr>
          <w:p w:rsidR="008B2EF5" w:rsidRPr="00B95F67" w:rsidRDefault="008B2EF5" w:rsidP="00B95F67">
            <w:pPr>
              <w:numPr>
                <w:ilvl w:val="1"/>
                <w:numId w:val="2"/>
              </w:numPr>
              <w:rPr>
                <w:sz w:val="24"/>
              </w:rPr>
            </w:pPr>
            <w:r w:rsidRPr="00B95F67">
              <w:rPr>
                <w:sz w:val="24"/>
              </w:rPr>
              <w:t>Agricultural</w:t>
            </w:r>
          </w:p>
        </w:tc>
        <w:tc>
          <w:tcPr>
            <w:tcW w:w="1620" w:type="dxa"/>
          </w:tcPr>
          <w:p w:rsidR="008B2EF5" w:rsidRPr="00B95F67" w:rsidRDefault="0087370B" w:rsidP="0087370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  <w:r w:rsidR="009742FC">
              <w:rPr>
                <w:sz w:val="24"/>
              </w:rPr>
              <w:t>.0</w:t>
            </w:r>
            <w:r>
              <w:rPr>
                <w:sz w:val="24"/>
              </w:rPr>
              <w:t>0</w:t>
            </w:r>
          </w:p>
        </w:tc>
      </w:tr>
      <w:tr w:rsidR="008B2EF5" w:rsidRPr="00B95F67" w:rsidTr="00B36F2E">
        <w:tc>
          <w:tcPr>
            <w:tcW w:w="4068" w:type="dxa"/>
          </w:tcPr>
          <w:p w:rsidR="008B2EF5" w:rsidRPr="00B95F67" w:rsidRDefault="008B2EF5" w:rsidP="00B95F67">
            <w:pPr>
              <w:numPr>
                <w:ilvl w:val="1"/>
                <w:numId w:val="2"/>
              </w:numPr>
              <w:rPr>
                <w:sz w:val="24"/>
              </w:rPr>
            </w:pPr>
            <w:r w:rsidRPr="00B95F67">
              <w:rPr>
                <w:sz w:val="24"/>
              </w:rPr>
              <w:t>Residential</w:t>
            </w:r>
          </w:p>
        </w:tc>
        <w:tc>
          <w:tcPr>
            <w:tcW w:w="1620" w:type="dxa"/>
          </w:tcPr>
          <w:p w:rsidR="008B2EF5" w:rsidRPr="00B95F67" w:rsidRDefault="00670ECD" w:rsidP="00670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87370B">
              <w:rPr>
                <w:sz w:val="24"/>
              </w:rPr>
              <w:t>1.3571</w:t>
            </w:r>
          </w:p>
        </w:tc>
      </w:tr>
      <w:tr w:rsidR="008B2EF5" w:rsidRPr="00B95F67" w:rsidTr="00B36F2E">
        <w:tc>
          <w:tcPr>
            <w:tcW w:w="4068" w:type="dxa"/>
          </w:tcPr>
          <w:p w:rsidR="008B2EF5" w:rsidRPr="00B95F67" w:rsidRDefault="008B2EF5" w:rsidP="00B95F67">
            <w:pPr>
              <w:numPr>
                <w:ilvl w:val="1"/>
                <w:numId w:val="2"/>
              </w:numPr>
              <w:rPr>
                <w:sz w:val="24"/>
              </w:rPr>
            </w:pPr>
            <w:r w:rsidRPr="00B95F67">
              <w:rPr>
                <w:sz w:val="24"/>
              </w:rPr>
              <w:t>Commercial &amp; Industrial</w:t>
            </w:r>
          </w:p>
        </w:tc>
        <w:tc>
          <w:tcPr>
            <w:tcW w:w="1620" w:type="dxa"/>
          </w:tcPr>
          <w:p w:rsidR="008B2EF5" w:rsidRPr="00B95F67" w:rsidRDefault="00670ECD" w:rsidP="00670EC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87370B">
              <w:rPr>
                <w:sz w:val="24"/>
              </w:rPr>
              <w:t>1.</w:t>
            </w:r>
            <w:r>
              <w:rPr>
                <w:sz w:val="24"/>
              </w:rPr>
              <w:t>200</w:t>
            </w:r>
          </w:p>
        </w:tc>
      </w:tr>
    </w:tbl>
    <w:p w:rsidR="000B5730" w:rsidRDefault="000B5730">
      <w:pPr>
        <w:rPr>
          <w:sz w:val="24"/>
        </w:rPr>
      </w:pPr>
    </w:p>
    <w:p w:rsidR="00D314FC" w:rsidRDefault="00D314FC" w:rsidP="00D314FC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Bylaw No. </w:t>
      </w:r>
      <w:r w:rsidR="002B259A">
        <w:rPr>
          <w:sz w:val="24"/>
        </w:rPr>
        <w:t>4</w:t>
      </w:r>
      <w:r>
        <w:rPr>
          <w:sz w:val="24"/>
        </w:rPr>
        <w:t>-20</w:t>
      </w:r>
      <w:r w:rsidR="002B259A">
        <w:rPr>
          <w:sz w:val="24"/>
        </w:rPr>
        <w:t>17</w:t>
      </w:r>
      <w:r>
        <w:rPr>
          <w:sz w:val="24"/>
        </w:rPr>
        <w:t xml:space="preserve"> dated </w:t>
      </w:r>
      <w:r w:rsidR="002B259A">
        <w:rPr>
          <w:sz w:val="24"/>
        </w:rPr>
        <w:t>August 16</w:t>
      </w:r>
      <w:r>
        <w:rPr>
          <w:sz w:val="24"/>
        </w:rPr>
        <w:t>, 201</w:t>
      </w:r>
      <w:r w:rsidR="002B259A">
        <w:rPr>
          <w:sz w:val="24"/>
        </w:rPr>
        <w:t>7</w:t>
      </w:r>
      <w:r>
        <w:rPr>
          <w:sz w:val="24"/>
        </w:rPr>
        <w:t xml:space="preserve"> is hereby repealed.</w:t>
      </w:r>
    </w:p>
    <w:p w:rsidR="00A61735" w:rsidRPr="00A61735" w:rsidRDefault="00A61735" w:rsidP="00A61735">
      <w:pPr>
        <w:rPr>
          <w:sz w:val="24"/>
        </w:rPr>
      </w:pPr>
    </w:p>
    <w:p w:rsidR="00A61735" w:rsidRPr="00A61735" w:rsidRDefault="00A61735" w:rsidP="00D314F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61735">
        <w:rPr>
          <w:sz w:val="24"/>
          <w:szCs w:val="24"/>
        </w:rPr>
        <w:t>This bylaw is effective April 12, 2023;</w:t>
      </w:r>
    </w:p>
    <w:p w:rsidR="00A61735" w:rsidRDefault="00A61735" w:rsidP="00A61735">
      <w:pPr>
        <w:pStyle w:val="ListParagraph"/>
        <w:ind w:left="360"/>
        <w:rPr>
          <w:sz w:val="24"/>
        </w:rPr>
      </w:pPr>
    </w:p>
    <w:p w:rsidR="00D314FC" w:rsidRDefault="00D314FC" w:rsidP="00D314FC">
      <w:pPr>
        <w:rPr>
          <w:sz w:val="24"/>
        </w:rPr>
      </w:pPr>
    </w:p>
    <w:p w:rsidR="00D314FC" w:rsidRPr="00D314FC" w:rsidRDefault="00D314FC" w:rsidP="00D314FC">
      <w:pPr>
        <w:rPr>
          <w:sz w:val="24"/>
        </w:rPr>
      </w:pPr>
    </w:p>
    <w:p w:rsidR="000B5730" w:rsidRDefault="000B5730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F57EF4">
        <w:tc>
          <w:tcPr>
            <w:tcW w:w="4428" w:type="dxa"/>
          </w:tcPr>
          <w:p w:rsidR="00F57EF4" w:rsidRDefault="00F57EF4"/>
          <w:p w:rsidR="009742FC" w:rsidRDefault="009742FC"/>
          <w:p w:rsidR="009742FC" w:rsidRDefault="009742FC"/>
        </w:tc>
        <w:tc>
          <w:tcPr>
            <w:tcW w:w="4428" w:type="dxa"/>
            <w:tcBorders>
              <w:bottom w:val="single" w:sz="4" w:space="0" w:color="auto"/>
            </w:tcBorders>
          </w:tcPr>
          <w:p w:rsidR="00F57EF4" w:rsidRDefault="00F57EF4">
            <w:pPr>
              <w:jc w:val="right"/>
            </w:pPr>
          </w:p>
        </w:tc>
      </w:tr>
      <w:tr w:rsidR="00F57EF4">
        <w:tc>
          <w:tcPr>
            <w:tcW w:w="4428" w:type="dxa"/>
          </w:tcPr>
          <w:p w:rsidR="00F57EF4" w:rsidRDefault="00F57EF4"/>
        </w:tc>
        <w:tc>
          <w:tcPr>
            <w:tcW w:w="4428" w:type="dxa"/>
          </w:tcPr>
          <w:p w:rsidR="00F57EF4" w:rsidRPr="00670ECD" w:rsidRDefault="00200C1F">
            <w:pPr>
              <w:jc w:val="right"/>
              <w:rPr>
                <w:sz w:val="24"/>
                <w:szCs w:val="24"/>
              </w:rPr>
            </w:pPr>
            <w:r w:rsidRPr="00670ECD">
              <w:rPr>
                <w:sz w:val="24"/>
                <w:szCs w:val="24"/>
              </w:rPr>
              <w:t xml:space="preserve"> Reeve</w:t>
            </w:r>
          </w:p>
        </w:tc>
      </w:tr>
      <w:tr w:rsidR="00F57EF4">
        <w:tc>
          <w:tcPr>
            <w:tcW w:w="4428" w:type="dxa"/>
          </w:tcPr>
          <w:p w:rsidR="00F57EF4" w:rsidRDefault="00F57EF4">
            <w:pPr>
              <w:rPr>
                <w:color w:val="808080"/>
              </w:rPr>
            </w:pPr>
            <w:r>
              <w:rPr>
                <w:color w:val="808080"/>
              </w:rPr>
              <w:t xml:space="preserve">                [SEAL]</w:t>
            </w:r>
          </w:p>
        </w:tc>
        <w:tc>
          <w:tcPr>
            <w:tcW w:w="4428" w:type="dxa"/>
          </w:tcPr>
          <w:p w:rsidR="00F57EF4" w:rsidRPr="00670ECD" w:rsidRDefault="00F57EF4">
            <w:pPr>
              <w:jc w:val="right"/>
              <w:rPr>
                <w:sz w:val="24"/>
                <w:szCs w:val="24"/>
              </w:rPr>
            </w:pPr>
          </w:p>
        </w:tc>
      </w:tr>
      <w:tr w:rsidR="00F57EF4">
        <w:tc>
          <w:tcPr>
            <w:tcW w:w="4428" w:type="dxa"/>
          </w:tcPr>
          <w:p w:rsidR="00F57EF4" w:rsidRDefault="00F57EF4">
            <w:pPr>
              <w:rPr>
                <w:color w:val="808080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F57EF4" w:rsidRDefault="00F57EF4">
            <w:pPr>
              <w:jc w:val="right"/>
            </w:pPr>
          </w:p>
        </w:tc>
      </w:tr>
      <w:tr w:rsidR="00F57EF4">
        <w:tc>
          <w:tcPr>
            <w:tcW w:w="4428" w:type="dxa"/>
          </w:tcPr>
          <w:p w:rsidR="00F57EF4" w:rsidRDefault="00F57EF4"/>
        </w:tc>
        <w:tc>
          <w:tcPr>
            <w:tcW w:w="4428" w:type="dxa"/>
          </w:tcPr>
          <w:p w:rsidR="00F57EF4" w:rsidRPr="00670ECD" w:rsidRDefault="00F57EF4">
            <w:pPr>
              <w:jc w:val="right"/>
              <w:rPr>
                <w:sz w:val="24"/>
                <w:szCs w:val="24"/>
              </w:rPr>
            </w:pPr>
            <w:r w:rsidRPr="00670ECD">
              <w:rPr>
                <w:sz w:val="24"/>
                <w:szCs w:val="24"/>
              </w:rPr>
              <w:t>Administrator</w:t>
            </w:r>
          </w:p>
        </w:tc>
      </w:tr>
    </w:tbl>
    <w:p w:rsidR="00F57EF4" w:rsidRDefault="00F57EF4"/>
    <w:p w:rsidR="00F57EF4" w:rsidRPr="00A37FA1" w:rsidRDefault="00F57EF4">
      <w:pPr>
        <w:jc w:val="right"/>
        <w:rPr>
          <w:i/>
          <w:sz w:val="16"/>
        </w:rPr>
      </w:pPr>
    </w:p>
    <w:p w:rsidR="00F57EF4" w:rsidRDefault="00F57EF4">
      <w:pPr>
        <w:jc w:val="right"/>
        <w:rPr>
          <w:sz w:val="16"/>
        </w:rPr>
      </w:pPr>
    </w:p>
    <w:p w:rsidR="00F57EF4" w:rsidRDefault="00F57EF4">
      <w:pPr>
        <w:jc w:val="right"/>
        <w:rPr>
          <w:sz w:val="16"/>
        </w:rPr>
      </w:pPr>
      <w:bookmarkStart w:id="0" w:name="_GoBack"/>
    </w:p>
    <w:p w:rsidR="0087370B" w:rsidRPr="00670ECD" w:rsidRDefault="0087370B" w:rsidP="0087370B">
      <w:pPr>
        <w:widowControl w:val="0"/>
        <w:autoSpaceDE w:val="0"/>
        <w:autoSpaceDN w:val="0"/>
        <w:adjustRightInd w:val="0"/>
      </w:pPr>
      <w:r w:rsidRPr="00670ECD">
        <w:t>Certified a true and correct copy</w:t>
      </w:r>
    </w:p>
    <w:p w:rsidR="0087370B" w:rsidRPr="00670ECD" w:rsidRDefault="0087370B" w:rsidP="0087370B">
      <w:pPr>
        <w:widowControl w:val="0"/>
        <w:autoSpaceDE w:val="0"/>
        <w:autoSpaceDN w:val="0"/>
        <w:adjustRightInd w:val="0"/>
      </w:pPr>
      <w:r w:rsidRPr="00670ECD">
        <w:t xml:space="preserve">of Bylaw </w:t>
      </w:r>
      <w:r w:rsidR="002B259A">
        <w:t>3</w:t>
      </w:r>
      <w:r w:rsidRPr="00670ECD">
        <w:t>-20</w:t>
      </w:r>
      <w:r w:rsidR="002B259A">
        <w:t>23</w:t>
      </w:r>
      <w:r w:rsidRPr="00670ECD">
        <w:t xml:space="preserve"> adopted by resolution of</w:t>
      </w:r>
    </w:p>
    <w:p w:rsidR="0087370B" w:rsidRPr="00670ECD" w:rsidRDefault="00670ECD" w:rsidP="0087370B">
      <w:pPr>
        <w:widowControl w:val="0"/>
        <w:autoSpaceDE w:val="0"/>
        <w:autoSpaceDN w:val="0"/>
        <w:adjustRightInd w:val="0"/>
      </w:pPr>
      <w:r>
        <w:t>C</w:t>
      </w:r>
      <w:r w:rsidR="0087370B" w:rsidRPr="00670ECD">
        <w:t xml:space="preserve">ouncil on the </w:t>
      </w:r>
      <w:r>
        <w:t>1</w:t>
      </w:r>
      <w:r w:rsidR="002B259A">
        <w:t>2</w:t>
      </w:r>
      <w:r w:rsidRPr="00670ECD">
        <w:rPr>
          <w:vertAlign w:val="superscript"/>
        </w:rPr>
        <w:t>th</w:t>
      </w:r>
      <w:r>
        <w:t xml:space="preserve"> </w:t>
      </w:r>
      <w:r w:rsidR="0087370B" w:rsidRPr="00670ECD">
        <w:t xml:space="preserve">day of </w:t>
      </w:r>
      <w:r>
        <w:t>A</w:t>
      </w:r>
      <w:r w:rsidR="002B259A">
        <w:t>pril</w:t>
      </w:r>
      <w:r w:rsidR="0087370B" w:rsidRPr="00670ECD">
        <w:t>, 20</w:t>
      </w:r>
      <w:r w:rsidR="002B259A">
        <w:t>23</w:t>
      </w:r>
      <w:r w:rsidR="0087370B" w:rsidRPr="00670ECD">
        <w:t>.</w:t>
      </w:r>
    </w:p>
    <w:bookmarkEnd w:id="0"/>
    <w:p w:rsidR="0087370B" w:rsidRPr="00515B72" w:rsidRDefault="0087370B" w:rsidP="0087370B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370B" w:rsidRPr="00360AC2" w:rsidRDefault="0087370B" w:rsidP="0087370B">
      <w:pPr>
        <w:widowControl w:val="0"/>
        <w:autoSpaceDE w:val="0"/>
        <w:autoSpaceDN w:val="0"/>
        <w:adjustRightInd w:val="0"/>
      </w:pPr>
    </w:p>
    <w:p w:rsidR="0087370B" w:rsidRPr="00360AC2" w:rsidRDefault="0087370B" w:rsidP="0087370B">
      <w:pPr>
        <w:widowControl w:val="0"/>
        <w:autoSpaceDE w:val="0"/>
        <w:autoSpaceDN w:val="0"/>
        <w:adjustRightInd w:val="0"/>
      </w:pPr>
    </w:p>
    <w:p w:rsidR="0087370B" w:rsidRPr="00360AC2" w:rsidRDefault="0087370B" w:rsidP="0087370B">
      <w:pPr>
        <w:widowControl w:val="0"/>
        <w:autoSpaceDE w:val="0"/>
        <w:autoSpaceDN w:val="0"/>
        <w:adjustRightInd w:val="0"/>
      </w:pPr>
    </w:p>
    <w:p w:rsidR="0087370B" w:rsidRPr="00360AC2" w:rsidRDefault="0087370B" w:rsidP="0087370B">
      <w:pPr>
        <w:widowControl w:val="0"/>
        <w:autoSpaceDE w:val="0"/>
        <w:autoSpaceDN w:val="0"/>
        <w:adjustRightInd w:val="0"/>
      </w:pPr>
      <w:r w:rsidRPr="00360AC2">
        <w:tab/>
      </w:r>
      <w:r w:rsidRPr="00360AC2">
        <w:tab/>
      </w:r>
      <w:r w:rsidRPr="00360AC2">
        <w:tab/>
      </w:r>
      <w:r w:rsidRPr="00360AC2">
        <w:tab/>
      </w:r>
      <w:r w:rsidRPr="00360AC2">
        <w:tab/>
      </w:r>
      <w:r w:rsidRPr="00360AC2">
        <w:tab/>
      </w:r>
      <w:r w:rsidRPr="00360AC2">
        <w:tab/>
      </w:r>
      <w:r w:rsidRPr="00360AC2">
        <w:tab/>
      </w:r>
      <w:r w:rsidRPr="00360AC2">
        <w:tab/>
      </w:r>
      <w:r w:rsidRPr="00360AC2">
        <w:rPr>
          <w:bCs/>
        </w:rPr>
        <w:t>(SEAL)</w:t>
      </w:r>
    </w:p>
    <w:p w:rsidR="0087370B" w:rsidRPr="00360AC2" w:rsidRDefault="0087370B" w:rsidP="0087370B">
      <w:pPr>
        <w:widowControl w:val="0"/>
        <w:autoSpaceDE w:val="0"/>
        <w:autoSpaceDN w:val="0"/>
        <w:adjustRightInd w:val="0"/>
      </w:pPr>
    </w:p>
    <w:p w:rsidR="0087370B" w:rsidRPr="00360AC2" w:rsidRDefault="0087370B" w:rsidP="0087370B">
      <w:pPr>
        <w:widowControl w:val="0"/>
        <w:autoSpaceDE w:val="0"/>
        <w:autoSpaceDN w:val="0"/>
        <w:adjustRightInd w:val="0"/>
      </w:pPr>
    </w:p>
    <w:p w:rsidR="0087370B" w:rsidRPr="00360AC2" w:rsidRDefault="0087370B" w:rsidP="0087370B">
      <w:pPr>
        <w:widowControl w:val="0"/>
        <w:autoSpaceDE w:val="0"/>
        <w:autoSpaceDN w:val="0"/>
        <w:adjustRightInd w:val="0"/>
      </w:pPr>
    </w:p>
    <w:p w:rsidR="0087370B" w:rsidRPr="00360AC2" w:rsidRDefault="0087370B" w:rsidP="0087370B">
      <w:pPr>
        <w:widowControl w:val="0"/>
        <w:autoSpaceDE w:val="0"/>
        <w:autoSpaceDN w:val="0"/>
        <w:adjustRightInd w:val="0"/>
      </w:pPr>
      <w:r w:rsidRPr="00360AC2">
        <w:t>__________________________________</w:t>
      </w:r>
    </w:p>
    <w:p w:rsidR="0087370B" w:rsidRPr="00670ECD" w:rsidRDefault="0087370B" w:rsidP="0087370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70ECD">
        <w:rPr>
          <w:sz w:val="24"/>
          <w:szCs w:val="24"/>
        </w:rPr>
        <w:t>A</w:t>
      </w:r>
      <w:r w:rsidR="00670ECD" w:rsidRPr="00670ECD">
        <w:rPr>
          <w:sz w:val="24"/>
          <w:szCs w:val="24"/>
        </w:rPr>
        <w:t>dministrator</w:t>
      </w:r>
    </w:p>
    <w:p w:rsidR="00F57EF4" w:rsidRDefault="00F57EF4">
      <w:pPr>
        <w:rPr>
          <w:sz w:val="24"/>
        </w:rPr>
      </w:pPr>
    </w:p>
    <w:sectPr w:rsidR="00F57EF4" w:rsidSect="009742FC">
      <w:pgSz w:w="12240" w:h="20160" w:code="5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FB" w:rsidRDefault="002519FB">
      <w:r>
        <w:separator/>
      </w:r>
    </w:p>
  </w:endnote>
  <w:endnote w:type="continuationSeparator" w:id="0">
    <w:p w:rsidR="002519FB" w:rsidRDefault="0025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FB" w:rsidRDefault="002519FB">
      <w:r>
        <w:separator/>
      </w:r>
    </w:p>
  </w:footnote>
  <w:footnote w:type="continuationSeparator" w:id="0">
    <w:p w:rsidR="002519FB" w:rsidRDefault="00251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ACE"/>
    <w:multiLevelType w:val="hybridMultilevel"/>
    <w:tmpl w:val="C2FA6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A1CCD"/>
    <w:multiLevelType w:val="multilevel"/>
    <w:tmpl w:val="21E01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8F821D2"/>
    <w:multiLevelType w:val="multilevel"/>
    <w:tmpl w:val="9C9E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46C05"/>
    <w:multiLevelType w:val="multilevel"/>
    <w:tmpl w:val="626E9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90"/>
    <w:rsid w:val="000A0049"/>
    <w:rsid w:val="000B5730"/>
    <w:rsid w:val="00135CAE"/>
    <w:rsid w:val="00164C90"/>
    <w:rsid w:val="001A022F"/>
    <w:rsid w:val="00200C1F"/>
    <w:rsid w:val="00233B4C"/>
    <w:rsid w:val="002367C0"/>
    <w:rsid w:val="002519FB"/>
    <w:rsid w:val="002B259A"/>
    <w:rsid w:val="002B7726"/>
    <w:rsid w:val="002E6C0D"/>
    <w:rsid w:val="003428D0"/>
    <w:rsid w:val="00377DB8"/>
    <w:rsid w:val="00382441"/>
    <w:rsid w:val="0043334B"/>
    <w:rsid w:val="004634D2"/>
    <w:rsid w:val="00484CF3"/>
    <w:rsid w:val="00507488"/>
    <w:rsid w:val="00670ECD"/>
    <w:rsid w:val="006A01F0"/>
    <w:rsid w:val="00744A06"/>
    <w:rsid w:val="00781D60"/>
    <w:rsid w:val="007E31B0"/>
    <w:rsid w:val="007F1E48"/>
    <w:rsid w:val="008077DF"/>
    <w:rsid w:val="00846F1A"/>
    <w:rsid w:val="0087370B"/>
    <w:rsid w:val="008B2EF5"/>
    <w:rsid w:val="00933D02"/>
    <w:rsid w:val="009665D5"/>
    <w:rsid w:val="00973451"/>
    <w:rsid w:val="009742FC"/>
    <w:rsid w:val="009B028B"/>
    <w:rsid w:val="009F0AA2"/>
    <w:rsid w:val="00A37FA1"/>
    <w:rsid w:val="00A61735"/>
    <w:rsid w:val="00B10393"/>
    <w:rsid w:val="00B36F2E"/>
    <w:rsid w:val="00B95F67"/>
    <w:rsid w:val="00BB7D29"/>
    <w:rsid w:val="00C46233"/>
    <w:rsid w:val="00C908E7"/>
    <w:rsid w:val="00CA73FB"/>
    <w:rsid w:val="00D314FC"/>
    <w:rsid w:val="00DD2202"/>
    <w:rsid w:val="00DF5BD8"/>
    <w:rsid w:val="00F10E72"/>
    <w:rsid w:val="00F16027"/>
    <w:rsid w:val="00F52F13"/>
    <w:rsid w:val="00F57EF4"/>
    <w:rsid w:val="00F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5779E"/>
  <w15:docId w15:val="{ABD4DFD0-226A-4F37-A7DF-4F26F5AD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6233"/>
  </w:style>
  <w:style w:type="paragraph" w:styleId="Heading1">
    <w:name w:val="heading 1"/>
    <w:basedOn w:val="Normal"/>
    <w:next w:val="Normal"/>
    <w:qFormat/>
    <w:rsid w:val="00C46233"/>
    <w:pPr>
      <w:keepNext/>
      <w:jc w:val="right"/>
      <w:outlineLvl w:val="0"/>
    </w:pPr>
    <w:rPr>
      <w:b/>
      <w:smallCaps/>
      <w:sz w:val="40"/>
    </w:rPr>
  </w:style>
  <w:style w:type="paragraph" w:styleId="Heading2">
    <w:name w:val="heading 2"/>
    <w:basedOn w:val="Normal"/>
    <w:next w:val="Normal"/>
    <w:qFormat/>
    <w:rsid w:val="00C46233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C46233"/>
    <w:pPr>
      <w:keepNext/>
      <w:jc w:val="right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46233"/>
    <w:pPr>
      <w:keepNext/>
      <w:jc w:val="right"/>
      <w:outlineLvl w:val="3"/>
    </w:pPr>
    <w:rPr>
      <w:b/>
      <w:smallCap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6233"/>
    <w:pPr>
      <w:jc w:val="center"/>
    </w:pPr>
    <w:rPr>
      <w:color w:val="FF0000"/>
      <w:sz w:val="24"/>
    </w:rPr>
  </w:style>
  <w:style w:type="character" w:styleId="Hyperlink">
    <w:name w:val="Hyperlink"/>
    <w:basedOn w:val="DefaultParagraphFont"/>
    <w:rsid w:val="00C46233"/>
    <w:rPr>
      <w:color w:val="0000FF"/>
      <w:u w:val="single"/>
    </w:rPr>
  </w:style>
  <w:style w:type="table" w:styleId="TableGrid">
    <w:name w:val="Table Grid"/>
    <w:basedOn w:val="TableNormal"/>
    <w:rsid w:val="000B5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B2EF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10393"/>
  </w:style>
  <w:style w:type="character" w:styleId="FootnoteReference">
    <w:name w:val="footnote reference"/>
    <w:basedOn w:val="DefaultParagraphFont"/>
    <w:semiHidden/>
    <w:rsid w:val="00B10393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7E31B0"/>
    <w:rPr>
      <w:color w:val="FF0000"/>
      <w:sz w:val="24"/>
    </w:rPr>
  </w:style>
  <w:style w:type="paragraph" w:styleId="ListParagraph">
    <w:name w:val="List Paragraph"/>
    <w:basedOn w:val="Normal"/>
    <w:uiPriority w:val="34"/>
    <w:qFormat/>
    <w:rsid w:val="00D31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BYLAW</vt:lpstr>
    </vt:vector>
  </TitlesOfParts>
  <Company>GRAA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BYLAW</dc:title>
  <dc:subject/>
  <dc:creator>Phil Boivin</dc:creator>
  <cp:keywords/>
  <cp:lastModifiedBy>U00</cp:lastModifiedBy>
  <cp:revision>3</cp:revision>
  <cp:lastPrinted>2023-04-12T18:24:00Z</cp:lastPrinted>
  <dcterms:created xsi:type="dcterms:W3CDTF">2023-04-10T19:33:00Z</dcterms:created>
  <dcterms:modified xsi:type="dcterms:W3CDTF">2023-04-12T18:24:00Z</dcterms:modified>
</cp:coreProperties>
</file>